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AB" w:rsidRDefault="004862AB" w:rsidP="004862AB">
      <w:pPr>
        <w:autoSpaceDE w:val="0"/>
        <w:autoSpaceDN w:val="0"/>
        <w:adjustRightInd w:val="0"/>
        <w:spacing w:after="0" w:line="240" w:lineRule="auto"/>
        <w:rPr>
          <w:rFonts w:ascii="FrankRuhlLibre-Regular" w:hAnsi="FrankRuhlLibre-Regular" w:cs="FrankRuhlLibre-Regular"/>
          <w:color w:val="000000"/>
          <w:sz w:val="59"/>
          <w:szCs w:val="59"/>
        </w:rPr>
      </w:pPr>
      <w:r>
        <w:rPr>
          <w:rFonts w:ascii="FrankRuhlLibre-Regular" w:hAnsi="FrankRuhlLibre-Regular" w:cs="FrankRuhlLibre-Regular"/>
          <w:color w:val="000000"/>
          <w:sz w:val="59"/>
          <w:szCs w:val="59"/>
        </w:rPr>
        <w:t>Mai più indifesa, il libro che insegna a liberarsi dalle relazioni tossiche</w:t>
      </w:r>
    </w:p>
    <w:p w:rsidR="004862AB" w:rsidRDefault="004862AB" w:rsidP="004862AB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000000"/>
          <w:sz w:val="31"/>
          <w:szCs w:val="31"/>
        </w:rPr>
      </w:pPr>
      <w:r>
        <w:rPr>
          <w:rFonts w:ascii="Assistant-Regular" w:hAnsi="Assistant-Regular" w:cs="Assistant-Regular"/>
          <w:color w:val="000000"/>
          <w:sz w:val="31"/>
          <w:szCs w:val="31"/>
        </w:rPr>
        <w:t>Riconoscere e combattere i meccanismi che portano una donna a scegliere e difendere un uomo oppressivo e violento. Gli autori Chiara Gambino e Giampaolo Salvatore spiegano come.</w:t>
      </w:r>
    </w:p>
    <w:p w:rsidR="00E538E4" w:rsidRDefault="004862AB" w:rsidP="004862AB">
      <w:pPr>
        <w:rPr>
          <w:rFonts w:ascii="OpenSans-Regular" w:hAnsi="OpenSans-Regular" w:cs="OpenSans-Regular"/>
          <w:color w:val="333333"/>
          <w:sz w:val="21"/>
          <w:szCs w:val="21"/>
        </w:rPr>
      </w:pPr>
      <w:r>
        <w:rPr>
          <w:rFonts w:ascii="OpenSans-Regular" w:hAnsi="OpenSans-Regular" w:cs="OpenSans-Regular"/>
          <w:color w:val="333333"/>
          <w:sz w:val="21"/>
          <w:szCs w:val="21"/>
        </w:rPr>
        <w:t>di ELENA PAPARELLI</w:t>
      </w:r>
    </w:p>
    <w:p w:rsidR="004862AB" w:rsidRDefault="004862AB" w:rsidP="004862AB">
      <w:pPr>
        <w:rPr>
          <w:rFonts w:ascii="OpenSans-Regular" w:hAnsi="OpenSans-Regular" w:cs="OpenSans-Regular"/>
          <w:color w:val="333333"/>
          <w:sz w:val="21"/>
          <w:szCs w:val="21"/>
        </w:rPr>
      </w:pPr>
    </w:p>
    <w:p w:rsidR="004862AB" w:rsidRDefault="004862AB" w:rsidP="004862AB">
      <w:pPr>
        <w:rPr>
          <w:rFonts w:ascii="OpenSans-Regular" w:hAnsi="OpenSans-Regular" w:cs="OpenSans-Regular"/>
          <w:color w:val="333333"/>
          <w:sz w:val="21"/>
          <w:szCs w:val="21"/>
        </w:rPr>
      </w:pPr>
    </w:p>
    <w:p w:rsidR="00BF2CCC" w:rsidRDefault="00BF2CCC" w:rsidP="00BF2CCC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222222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>Un rossetto spezzato in copertina ricorda al lettore l’idea di una «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femminilità incrinata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». Eppure, attraverso la lettura di </w:t>
      </w:r>
      <w:r>
        <w:rPr>
          <w:rFonts w:ascii="Assistant-Bold" w:hAnsi="Assistant-Bold" w:cs="Assistant-Bold"/>
          <w:b/>
          <w:bCs/>
          <w:color w:val="222222"/>
          <w:sz w:val="26"/>
          <w:szCs w:val="26"/>
        </w:rPr>
        <w:t xml:space="preserve">Mai più indifesa </w:t>
      </w:r>
      <w:r>
        <w:rPr>
          <w:rFonts w:ascii="Assistant-Regular" w:hAnsi="Assistant-Regular" w:cs="Assistant-Regular"/>
          <w:color w:val="111111"/>
          <w:sz w:val="25"/>
          <w:szCs w:val="25"/>
        </w:rPr>
        <w:t>(</w:t>
      </w:r>
      <w:proofErr w:type="spellStart"/>
      <w:r>
        <w:rPr>
          <w:rFonts w:ascii="Assistant-Regular" w:hAnsi="Assistant-Regular" w:cs="Assistant-Regular"/>
          <w:color w:val="111111"/>
          <w:sz w:val="25"/>
          <w:szCs w:val="25"/>
        </w:rPr>
        <w:t>Altrimedia</w:t>
      </w:r>
      <w:proofErr w:type="spellEnd"/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2019), questa femminilità «si ricompone e riallinea, accogliendo le proprie ferite e le proprie vulnerabilità, nutrita attraverso il colore rosso che rappresenta la forza, il coraggio, la determinazione e allo stesso tempo la passione». A parlare è la psicoterapeuta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Chiara Gambino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che insieme allo psichiatra, psicoterapeuta e criminologo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Giampaolo</w:t>
      </w:r>
    </w:p>
    <w:p w:rsidR="00BF2CCC" w:rsidRDefault="00BF2CCC" w:rsidP="00BF2CCC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Salvatore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ha scritto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un libro a quattro mani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per indagare i meccanismi psicologici che «portano inconsapevolmente molte donne a costruire 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mantenere relazioni forti di sofferenza o vittimizzanti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». </w:t>
      </w:r>
      <w:r>
        <w:rPr>
          <w:rFonts w:ascii="Assistant-Regular" w:hAnsi="Assistant-Regular" w:cs="Assistant-Regular"/>
          <w:color w:val="111111"/>
          <w:sz w:val="26"/>
          <w:szCs w:val="26"/>
        </w:rPr>
        <w:t xml:space="preserve">Mai più indifesa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rappresenta infatti il tentativo di spronare le donne a non restare all’interno di dinamiche relazionali malate, e dunque, 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prendere consapevolezza delle origini dei loro problemi </w:t>
      </w:r>
      <w:r>
        <w:rPr>
          <w:rFonts w:ascii="Assistant-Regular" w:hAnsi="Assistant-Regular" w:cs="Assistant-Regular"/>
          <w:color w:val="111111"/>
          <w:sz w:val="25"/>
          <w:szCs w:val="25"/>
        </w:rPr>
        <w:t>e, attraverso alcune</w:t>
      </w:r>
    </w:p>
    <w:p w:rsidR="004862AB" w:rsidRDefault="00BF2CCC" w:rsidP="00BF2CCC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tecniche – corporee, meditative, marziali e immaginative – trovare da sole la strada per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tornare ad essere padrone di se stesse</w:t>
      </w:r>
      <w:r>
        <w:rPr>
          <w:rFonts w:ascii="Assistant-Regular" w:hAnsi="Assistant-Regular" w:cs="Assistant-Regular"/>
          <w:color w:val="111111"/>
          <w:sz w:val="25"/>
          <w:szCs w:val="25"/>
        </w:rPr>
        <w:t>. Anche attraverso gli esempi forniti da storie di donne incontrate dagli autori come  pazienti, attraverso cui «ogni donna», afferma Gambino, «può ritrovare un pezzetto di sé e della propria vita».</w:t>
      </w:r>
    </w:p>
    <w:p w:rsidR="00BF2CCC" w:rsidRDefault="00BF2CCC" w:rsidP="00BF2CCC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BE6431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 xml:space="preserve">IL PROBLEMA È FUORI MA ANCHE DENTRO </w:t>
      </w:r>
      <w:proofErr w:type="spellStart"/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DI</w:t>
      </w:r>
      <w:proofErr w:type="spellEnd"/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 xml:space="preserve"> NOI</w:t>
      </w:r>
    </w:p>
    <w:p w:rsidR="00BE6431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La prima cosa da fare è prendere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consapevolezza di ciò che non funziona in un rapporto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poco sano. «Il problema della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violenza di genere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», ricorda Salvatore, «e in generale il problema delle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relazioni malate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viene di solito affrontato in modo incompleto, anche nell’attuale dibattito pubblico. La tendenza dominante è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concentrarsi sul pro</w:t>
      </w:r>
      <w:r>
        <w:rPr>
          <w:rFonts w:ascii="Arial" w:hAnsi="Arial" w:cs="Arial"/>
          <w:b/>
          <w:bCs/>
          <w:color w:val="222222"/>
          <w:sz w:val="25"/>
          <w:szCs w:val="25"/>
        </w:rPr>
        <w:t>fi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lo dell’aggressore</w:t>
      </w:r>
      <w:r>
        <w:rPr>
          <w:rFonts w:ascii="Assistant-Regular" w:hAnsi="Assistant-Regular" w:cs="Assistant-Regular"/>
          <w:color w:val="111111"/>
          <w:sz w:val="25"/>
          <w:szCs w:val="25"/>
        </w:rPr>
        <w:t>, senza chiedersi quali aspetti e meccanismi psicologici portino la vittima ad assumere e mantenere questo ruolo anche contro l’istinto di sopravvivenza».</w:t>
      </w:r>
    </w:p>
    <w:p w:rsidR="00BE6431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CAPIRE I MECCANISMI PSICOLOGICI DA CORREGGERE</w:t>
      </w:r>
    </w:p>
    <w:p w:rsidR="00BE6431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222222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Il punto è allora, prima di tutto, proprio studiare i meccanismi che portano inconsapevolmente molte donne a stare dentro a relazioni fonte di disagio. «Meccanismi che si generano all’interno di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copioni e mandati</w:t>
      </w:r>
    </w:p>
    <w:p w:rsidR="00BE6431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familiari molto antichi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– spiega Salvatore - e che poi si riverberano nelle relazioni adulte». Per esempio? «Un meccanismo del genere è aver appreso da ripetute esperienze - tanti piccoli traumi - vissuti nella propria crescita, di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non meritare di essere rispettata e amata</w:t>
      </w:r>
      <w:r>
        <w:rPr>
          <w:rFonts w:ascii="Assistant-Regular" w:hAnsi="Assistant-Regular" w:cs="Assistant-Regular"/>
          <w:color w:val="111111"/>
          <w:sz w:val="25"/>
          <w:szCs w:val="25"/>
        </w:rPr>
        <w:t>. È facile che una persona entri in una relazione con un</w:t>
      </w:r>
    </w:p>
    <w:p w:rsidR="00BF2CCC" w:rsidRDefault="00BE6431" w:rsidP="00BE643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partner guidata da questa convinzione, quasi sempre senza esserne consapevole». E conclude: «Se incontrerà un partner che la maltratterà, quella convinzione di fondo la porterà 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“perdonare” il partner per i suoi comportamenti </w:t>
      </w:r>
      <w:r>
        <w:rPr>
          <w:rFonts w:ascii="Assistant-Regular" w:hAnsi="Assistant-Regular" w:cs="Assistant-Regular"/>
          <w:color w:val="111111"/>
          <w:sz w:val="25"/>
          <w:szCs w:val="25"/>
        </w:rPr>
        <w:t>e a proseguire nella relazione, spesso anche nella “spirale della violenza”».</w:t>
      </w:r>
    </w:p>
    <w:p w:rsidR="006A68F2" w:rsidRDefault="006A68F2" w:rsidP="006A68F2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lastRenderedPageBreak/>
        <w:t>LA DIPENDENZA PATOLOGICA</w:t>
      </w:r>
    </w:p>
    <w:p w:rsidR="00EF46B3" w:rsidRDefault="006A68F2" w:rsidP="00EF46B3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Cosa fare per capire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l’origine della dipendenza patologica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? «Prendete una bambina che si rivolge ai genitori quando è triste o spaventata per essere consolata, e i genitori rispondono “ora non ho tempo”», spiega </w:t>
      </w:r>
      <w:r w:rsidR="00EF46B3">
        <w:rPr>
          <w:rFonts w:ascii="Assistant-Regular" w:hAnsi="Assistant-Regular" w:cs="Assistant-Regular"/>
          <w:color w:val="111111"/>
          <w:sz w:val="25"/>
          <w:szCs w:val="25"/>
        </w:rPr>
        <w:t xml:space="preserve">Salvatore, «in questa scena </w:t>
      </w:r>
      <w:r w:rsidR="00EF46B3">
        <w:rPr>
          <w:rFonts w:ascii="Assistant-Bold" w:hAnsi="Assistant-Bold" w:cs="Assistant-Bold"/>
          <w:b/>
          <w:bCs/>
          <w:color w:val="222222"/>
          <w:sz w:val="25"/>
          <w:szCs w:val="25"/>
        </w:rPr>
        <w:t>la bambina aveva bisogno di essere accudita, ma ha avuto in risposta disinteresse</w:t>
      </w:r>
      <w:r w:rsidR="00EF46B3">
        <w:rPr>
          <w:rFonts w:ascii="Assistant-Regular" w:hAnsi="Assistant-Regular" w:cs="Assistant-Regular"/>
          <w:color w:val="111111"/>
          <w:sz w:val="25"/>
          <w:szCs w:val="25"/>
        </w:rPr>
        <w:t xml:space="preserve">. Immaginate che questa scena si ripeta in modo simile per anni. Immaginate che anche in altri momenti il bisogno di </w:t>
      </w:r>
      <w:proofErr w:type="spellStart"/>
      <w:r w:rsidR="00EF46B3">
        <w:rPr>
          <w:rFonts w:ascii="Assistant-Regular" w:hAnsi="Assistant-Regular" w:cs="Assistant-Regular"/>
          <w:color w:val="111111"/>
          <w:sz w:val="25"/>
          <w:szCs w:val="25"/>
        </w:rPr>
        <w:t>accudimento</w:t>
      </w:r>
      <w:proofErr w:type="spellEnd"/>
      <w:r w:rsidR="00EF46B3">
        <w:rPr>
          <w:rFonts w:ascii="Assistant-Regular" w:hAnsi="Assistant-Regular" w:cs="Assistant-Regular"/>
          <w:color w:val="111111"/>
          <w:sz w:val="25"/>
          <w:szCs w:val="25"/>
        </w:rPr>
        <w:t xml:space="preserve">, sotto forma di comprensione, rassicurazione, conforto, riceva come risposta disinteresse o peggio critica». Quale schema svilupperà questa bambina? «Lo schema che svilupperà sarà: ogni volta che avrò bisogno di amore e </w:t>
      </w:r>
      <w:proofErr w:type="spellStart"/>
      <w:r w:rsidR="00EF46B3">
        <w:rPr>
          <w:rFonts w:ascii="Assistant-Regular" w:hAnsi="Assistant-Regular" w:cs="Assistant-Regular"/>
          <w:color w:val="111111"/>
          <w:sz w:val="25"/>
          <w:szCs w:val="25"/>
        </w:rPr>
        <w:t>accudimento</w:t>
      </w:r>
      <w:proofErr w:type="spellEnd"/>
      <w:r w:rsidR="00EF46B3">
        <w:rPr>
          <w:rFonts w:ascii="Assistant-Regular" w:hAnsi="Assistant-Regular" w:cs="Assistant-Regular"/>
          <w:color w:val="111111"/>
          <w:sz w:val="25"/>
          <w:szCs w:val="25"/>
        </w:rPr>
        <w:t xml:space="preserve"> perché mi sento fragile, l’altro sarà critico o disinteressato, quindi </w:t>
      </w:r>
      <w:r w:rsidR="00EF46B3">
        <w:rPr>
          <w:rFonts w:ascii="Assistant-Bold" w:hAnsi="Assistant-Bold" w:cs="Assistant-Bold"/>
          <w:b/>
          <w:bCs/>
          <w:color w:val="222222"/>
          <w:sz w:val="25"/>
          <w:szCs w:val="25"/>
        </w:rPr>
        <w:t>meglio, per esempio, nascondere quel bisogno</w:t>
      </w:r>
      <w:r w:rsidR="00EF46B3">
        <w:rPr>
          <w:rFonts w:ascii="Assistant-Regular" w:hAnsi="Assistant-Regular" w:cs="Assistant-Regular"/>
          <w:color w:val="111111"/>
          <w:sz w:val="25"/>
          <w:szCs w:val="25"/>
        </w:rPr>
        <w:t>, e cercare</w:t>
      </w:r>
    </w:p>
    <w:p w:rsidR="00BE6431" w:rsidRDefault="00EF46B3" w:rsidP="00EF46B3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di ottenere amore, o qualcosa che gli assomigli,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dando totale disponibilità all’altro</w:t>
      </w:r>
      <w:r>
        <w:rPr>
          <w:rFonts w:ascii="Assistant-Regular" w:hAnsi="Assistant-Regular" w:cs="Assistant-Regular"/>
          <w:color w:val="111111"/>
          <w:sz w:val="25"/>
          <w:szCs w:val="25"/>
        </w:rPr>
        <w:t>. Ecco uno schema che può creare dipendenza patologica nel rapporto amoroso da adulti. Ma è solo uno dei tanti esempi».</w:t>
      </w:r>
    </w:p>
    <w:p w:rsidR="00EF46B3" w:rsidRDefault="00EF46B3" w:rsidP="00EF46B3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EF46B3" w:rsidRDefault="00EF46B3" w:rsidP="00EF46B3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697B0D" w:rsidRDefault="00697B0D" w:rsidP="00697B0D">
      <w:pPr>
        <w:autoSpaceDE w:val="0"/>
        <w:autoSpaceDN w:val="0"/>
        <w:adjustRightInd w:val="0"/>
        <w:spacing w:after="0" w:line="240" w:lineRule="auto"/>
        <w:jc w:val="both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LE TECNICHE PER FOCALIZZARE LE ORIGINI DEL PROBLEMA</w:t>
      </w:r>
    </w:p>
    <w:p w:rsidR="00697B0D" w:rsidRDefault="00697B0D" w:rsidP="00697B0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Nel libro si affrontano anche le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tecniche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per permettere a una donna di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focalizzare le origini remote del proprio problema </w:t>
      </w:r>
      <w:r>
        <w:rPr>
          <w:rFonts w:ascii="Assistant-Regular" w:hAnsi="Assistant-Regular" w:cs="Assistant-Regular"/>
          <w:color w:val="111111"/>
          <w:sz w:val="25"/>
          <w:szCs w:val="25"/>
        </w:rPr>
        <w:t>e cercare da sola una propria via di uscita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. «</w:t>
      </w:r>
      <w:r>
        <w:rPr>
          <w:rFonts w:ascii="Assistant-Regular" w:hAnsi="Assistant-Regular" w:cs="Assistant-Regular"/>
          <w:color w:val="111111"/>
          <w:sz w:val="25"/>
          <w:szCs w:val="25"/>
        </w:rPr>
        <w:t>Le tecniche illustrate», afferma Gambino, «non si possono capire e acquisire se prima non si prende consapevolezza di quale sia il proprio funzionamento interno. Nella prima parte del libro mostriamo come le protagoniste delle nostre storie siano giunte a</w:t>
      </w:r>
    </w:p>
    <w:p w:rsidR="00697B0D" w:rsidRDefault="00697B0D" w:rsidP="00697B0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comprendere,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aiutate dal lavoro psicologico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come le proprie esperienze di vita e la loro interpretazione le abbiano condizionate nella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costruzione di un’immagine negativa di sé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, che rappresenta il preludio all’ingresso in una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relazione insoddisfacente o malata</w:t>
      </w:r>
      <w:r>
        <w:rPr>
          <w:rFonts w:ascii="Assistant-Regular" w:hAnsi="Assistant-Regular" w:cs="Assistant-Regular"/>
          <w:color w:val="111111"/>
          <w:sz w:val="25"/>
          <w:szCs w:val="25"/>
        </w:rPr>
        <w:t>». La seconda parte del libro traccia invece i percorsi</w:t>
      </w:r>
    </w:p>
    <w:p w:rsidR="00EF46B3" w:rsidRDefault="00697B0D" w:rsidP="00697B0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possibili per risolvere il problema, «guidando la donna passo dopo passo nell’esplorazione di tecniche volte 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trasformare quell’immagine di sé negativa</w:t>
      </w:r>
      <w:r>
        <w:rPr>
          <w:rFonts w:ascii="Assistant-Regular" w:hAnsi="Assistant-Regular" w:cs="Assistant-Regular"/>
          <w:color w:val="111111"/>
          <w:sz w:val="25"/>
          <w:szCs w:val="25"/>
        </w:rPr>
        <w:t>, per sentirsi nuovamente meritevole, degna ed in grado di prendere in mano le redini della propria vita».</w:t>
      </w:r>
    </w:p>
    <w:p w:rsidR="00697B0D" w:rsidRDefault="00697B0D" w:rsidP="00697B0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14552D" w:rsidRDefault="0014552D" w:rsidP="0014552D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LA CENTRALITÀ DELL’ASCOLTO</w:t>
      </w:r>
    </w:p>
    <w:p w:rsidR="00697B0D" w:rsidRDefault="0014552D" w:rsidP="0014552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>Scrivere un libro a quattro mani su un tema così delicato non è cosa semplice. Eppure, «nonostante ciascuno di noi due avesse il proprio bagaglio teorico e pratico speci</w:t>
      </w:r>
      <w:r>
        <w:rPr>
          <w:rFonts w:ascii="Arial" w:hAnsi="Arial" w:cs="Arial"/>
          <w:color w:val="111111"/>
          <w:sz w:val="25"/>
          <w:szCs w:val="25"/>
        </w:rPr>
        <w:t>fi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co», dice Gambino, «ciò che ci ha da subito accomunati e che ci ha permesso di elaborare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un modello comune </w:t>
      </w:r>
      <w:r>
        <w:rPr>
          <w:rFonts w:ascii="Assistant-Regular" w:hAnsi="Assistant-Regular" w:cs="Assistant-Regular"/>
          <w:color w:val="111111"/>
          <w:sz w:val="25"/>
          <w:szCs w:val="25"/>
        </w:rPr>
        <w:t>e di trasferirlo a quattro mani, sono stati l’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ascolto profondo della persona</w:t>
      </w:r>
      <w:r>
        <w:rPr>
          <w:rFonts w:ascii="Assistant-Regular" w:hAnsi="Assistant-Regular" w:cs="Assistant-Regular"/>
          <w:color w:val="111111"/>
          <w:sz w:val="25"/>
          <w:szCs w:val="25"/>
        </w:rPr>
        <w:t>, l’attenzione alla relazione terapeutica e la possibilità di costruire percorsi flessibili e creativi».</w:t>
      </w:r>
    </w:p>
    <w:p w:rsidR="0014552D" w:rsidRDefault="0014552D" w:rsidP="0014552D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INTEGRARE I SAPERI</w:t>
      </w: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La psicoterapia stessa, del resto,si basa sempre meno sull’autorità e sempre più sulla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ricerca sperimentale e sull’integrazione di diversi campi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. «Per esempio», aggiunge Salvatore, «il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sapere neuropsicologico 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e la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psicologia delle emozioni </w:t>
      </w:r>
      <w:r>
        <w:rPr>
          <w:rFonts w:ascii="Assistant-Regular" w:hAnsi="Assistant-Regular" w:cs="Assistant-Regular"/>
          <w:color w:val="111111"/>
          <w:sz w:val="25"/>
          <w:szCs w:val="25"/>
        </w:rPr>
        <w:t>insegnano allo psicoterapeuta che per prima cosa il paziente ha bisogno di sentirsi</w:t>
      </w: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>sicuro nella relazione con lui, come in qualsiasi relazione, e che quando si sente insicuro si attivano in lui dei circuiti del nervo vago che lo portano a “spegnersi” e a chiudersi».</w:t>
      </w: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lastRenderedPageBreak/>
        <w:t>L’USO DELL’IRONIA</w:t>
      </w: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jc w:val="both"/>
        <w:rPr>
          <w:rFonts w:ascii="Assistant-Bold" w:hAnsi="Assistant-Bold" w:cs="Assistant-Bold"/>
          <w:b/>
          <w:bCs/>
          <w:color w:val="222222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Nel libro non manca neppure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un pizzico di ironia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. «Lo stile del libro non è casuale», conclude Gambino, «Vuole comunicare sempre “a tu per tu” con il lettore per renderlo parte integrante della storia, attraverso un dialogo “caldo” e vero. L’ironia è quell’ingrediente in più che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stempera l’amarezza e la drammaticità degli incastri</w:t>
      </w:r>
    </w:p>
    <w:p w:rsidR="0014552D" w:rsidRDefault="00040597" w:rsidP="00040597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>affettivi</w:t>
      </w:r>
      <w:r>
        <w:rPr>
          <w:rFonts w:ascii="Assistant-Regular" w:hAnsi="Assistant-Regular" w:cs="Assistant-Regular"/>
          <w:color w:val="111111"/>
          <w:sz w:val="25"/>
          <w:szCs w:val="25"/>
        </w:rPr>
        <w:t>, è un’arma potente in grado di dipanare quei veli illusori che offuscano gli occhi e impediscono di stare nella verità di se stessi, dell’altro e della relazione». E aggiunge: «L’ironia, e ancora di più l’autoironia, sono chiavi di accesso alla consapevolezza».</w:t>
      </w: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040597" w:rsidRDefault="00040597" w:rsidP="00040597">
      <w:pPr>
        <w:autoSpaceDE w:val="0"/>
        <w:autoSpaceDN w:val="0"/>
        <w:adjustRightInd w:val="0"/>
        <w:spacing w:after="0" w:line="240" w:lineRule="auto"/>
        <w:jc w:val="both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rPr>
          <w:rFonts w:ascii="Assistant-Bold" w:hAnsi="Assistant-Bold" w:cs="Assistant-Bold"/>
          <w:b/>
          <w:bCs/>
          <w:color w:val="923858"/>
          <w:sz w:val="25"/>
          <w:szCs w:val="25"/>
        </w:rPr>
      </w:pPr>
      <w:r>
        <w:rPr>
          <w:rFonts w:ascii="Assistant-Bold" w:hAnsi="Assistant-Bold" w:cs="Assistant-Bold"/>
          <w:b/>
          <w:bCs/>
          <w:color w:val="923858"/>
          <w:sz w:val="25"/>
          <w:szCs w:val="25"/>
        </w:rPr>
        <w:t>IMPARARE A DIFENDERDSI</w:t>
      </w: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  <w:r>
        <w:rPr>
          <w:rFonts w:ascii="Assistant-Regular" w:hAnsi="Assistant-Regular" w:cs="Assistant-Regular"/>
          <w:color w:val="111111"/>
          <w:sz w:val="25"/>
          <w:szCs w:val="25"/>
        </w:rPr>
        <w:t>«</w:t>
      </w:r>
      <w:r>
        <w:rPr>
          <w:rFonts w:ascii="Assistant-Regular" w:hAnsi="Assistant-Regular" w:cs="Assistant-Regular"/>
          <w:color w:val="111111"/>
          <w:sz w:val="26"/>
          <w:szCs w:val="26"/>
        </w:rPr>
        <w:t>Mai più indifesa</w:t>
      </w:r>
      <w:r>
        <w:rPr>
          <w:rFonts w:ascii="Assistant-Regular" w:hAnsi="Assistant-Regular" w:cs="Assistant-Regular"/>
          <w:color w:val="111111"/>
          <w:sz w:val="25"/>
          <w:szCs w:val="25"/>
        </w:rPr>
        <w:t xml:space="preserve">», conclude Gambino, «vuole porsi come </w:t>
      </w:r>
      <w:r>
        <w:rPr>
          <w:rFonts w:ascii="Assistant-Bold" w:hAnsi="Assistant-Bold" w:cs="Assistant-Bold"/>
          <w:b/>
          <w:bCs/>
          <w:color w:val="222222"/>
          <w:sz w:val="25"/>
          <w:szCs w:val="25"/>
        </w:rPr>
        <w:t xml:space="preserve">una sorta di mantra che ogni donna può sussurrare dentro di sé </w:t>
      </w:r>
      <w:r>
        <w:rPr>
          <w:rFonts w:ascii="Assistant-Regular" w:hAnsi="Assistant-Regular" w:cs="Assistant-Regular"/>
          <w:color w:val="111111"/>
          <w:sz w:val="25"/>
          <w:szCs w:val="25"/>
        </w:rPr>
        <w:t>ed affermare al mondo intero, proprio per ricordare a se stessa il diritto di difendersi e allo stesso tempo il dovere di imparare a farlo, acquisendo sempre più consapevolezza dei propri limiti e delle proprie potenzialità».</w:t>
      </w: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rPr>
          <w:rFonts w:ascii="Assistant-Regular" w:hAnsi="Assistant-Regular" w:cs="Assistant-Regular"/>
          <w:color w:val="111111"/>
          <w:sz w:val="25"/>
          <w:szCs w:val="25"/>
        </w:rPr>
      </w:pPr>
    </w:p>
    <w:p w:rsidR="00040597" w:rsidRDefault="00F86321" w:rsidP="00F86321">
      <w:pPr>
        <w:autoSpaceDE w:val="0"/>
        <w:autoSpaceDN w:val="0"/>
        <w:adjustRightInd w:val="0"/>
        <w:spacing w:after="0" w:line="240" w:lineRule="auto"/>
        <w:jc w:val="both"/>
        <w:rPr>
          <w:rFonts w:ascii="FrankRuhlLibre-Regular" w:hAnsi="FrankRuhlLibre-Regular" w:cs="FrankRuhlLibre-Regular"/>
          <w:color w:val="000000"/>
          <w:sz w:val="20"/>
          <w:szCs w:val="20"/>
        </w:rPr>
      </w:pPr>
      <w:r>
        <w:rPr>
          <w:rFonts w:ascii="FrankRuhlLibre-Regular" w:hAnsi="FrankRuhlLibre-Regular" w:cs="FrankRuhlLibre-Regular"/>
          <w:color w:val="000000"/>
          <w:sz w:val="20"/>
          <w:szCs w:val="20"/>
        </w:rPr>
        <w:t>© RIPRODUZIONE RISERVATA</w:t>
      </w: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jc w:val="both"/>
        <w:rPr>
          <w:rFonts w:ascii="FrankRuhlLibre-Regular" w:hAnsi="FrankRuhlLibre-Regular" w:cs="FrankRuhlLibre-Regular"/>
          <w:color w:val="000000"/>
          <w:sz w:val="20"/>
          <w:szCs w:val="20"/>
        </w:rPr>
      </w:pPr>
    </w:p>
    <w:p w:rsidR="00F86321" w:rsidRDefault="00F86321" w:rsidP="00F86321">
      <w:pPr>
        <w:autoSpaceDE w:val="0"/>
        <w:autoSpaceDN w:val="0"/>
        <w:adjustRightInd w:val="0"/>
        <w:spacing w:after="0" w:line="240" w:lineRule="auto"/>
        <w:jc w:val="both"/>
        <w:rPr>
          <w:rFonts w:ascii="FrankRuhlLibre-Regular" w:hAnsi="FrankRuhlLibre-Regular" w:cs="FrankRuhlLibre-Regular"/>
          <w:color w:val="000000"/>
          <w:sz w:val="20"/>
          <w:szCs w:val="20"/>
        </w:rPr>
      </w:pPr>
    </w:p>
    <w:p w:rsidR="00F86321" w:rsidRPr="004862AB" w:rsidRDefault="00F86321" w:rsidP="00F8632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FrankRuhlLibre-Regular" w:hAnsi="FrankRuhlLibre-Regular" w:cs="FrankRuhlLibre-Regular"/>
          <w:color w:val="000000"/>
          <w:sz w:val="20"/>
          <w:szCs w:val="20"/>
        </w:rPr>
        <w:t xml:space="preserve">Articolo pubblicato su </w:t>
      </w:r>
      <w:proofErr w:type="spellStart"/>
      <w:r>
        <w:rPr>
          <w:rFonts w:ascii="FrankRuhlLibre-Regular" w:hAnsi="FrankRuhlLibre-Regular" w:cs="FrankRuhlLibre-Regular"/>
          <w:color w:val="000000"/>
          <w:sz w:val="20"/>
          <w:szCs w:val="20"/>
        </w:rPr>
        <w:t>LetteraDonna</w:t>
      </w:r>
      <w:proofErr w:type="spellEnd"/>
      <w:r>
        <w:rPr>
          <w:rFonts w:ascii="FrankRuhlLibre-Regular" w:hAnsi="FrankRuhlLibre-Regular" w:cs="FrankRuhlLibre-Regular"/>
          <w:color w:val="000000"/>
          <w:sz w:val="20"/>
          <w:szCs w:val="20"/>
        </w:rPr>
        <w:t xml:space="preserve"> </w:t>
      </w:r>
      <w:r w:rsidR="00866F9D">
        <w:rPr>
          <w:rFonts w:ascii="FrankRuhlLibre-Regular" w:hAnsi="FrankRuhlLibre-Regular" w:cs="FrankRuhlLibre-Regular"/>
          <w:color w:val="000000"/>
          <w:sz w:val="20"/>
          <w:szCs w:val="20"/>
        </w:rPr>
        <w:t>il 2 gennaio 2020</w:t>
      </w:r>
    </w:p>
    <w:sectPr w:rsidR="00F86321" w:rsidRPr="004862AB" w:rsidSect="00E53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hlLibr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sistan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sistan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A724E8"/>
    <w:rsid w:val="00040597"/>
    <w:rsid w:val="0014552D"/>
    <w:rsid w:val="00333857"/>
    <w:rsid w:val="004862AB"/>
    <w:rsid w:val="00697B0D"/>
    <w:rsid w:val="006A68F2"/>
    <w:rsid w:val="006A79F0"/>
    <w:rsid w:val="00866F9D"/>
    <w:rsid w:val="00913BF8"/>
    <w:rsid w:val="00A724E8"/>
    <w:rsid w:val="00BE6431"/>
    <w:rsid w:val="00BF2CCC"/>
    <w:rsid w:val="00E538E4"/>
    <w:rsid w:val="00EF46B3"/>
    <w:rsid w:val="00F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6034</Characters>
  <Application>Microsoft Office Word</Application>
  <DocSecurity>0</DocSecurity>
  <Lines>107</Lines>
  <Paragraphs>34</Paragraphs>
  <ScaleCrop>false</ScaleCrop>
  <Company>RAI Radiotelevisione Italiana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P684735</dc:creator>
  <cp:lastModifiedBy>P684735</cp:lastModifiedBy>
  <cp:revision>11</cp:revision>
  <dcterms:created xsi:type="dcterms:W3CDTF">2020-02-26T09:58:00Z</dcterms:created>
  <dcterms:modified xsi:type="dcterms:W3CDTF">2020-02-26T10:04:00Z</dcterms:modified>
</cp:coreProperties>
</file>